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3AEE3F" w14:textId="11A500BC" w:rsidR="00D41FD6" w:rsidRPr="006B2C94" w:rsidRDefault="00D41FD6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6953825"/>
      <w:r>
        <w:rPr>
          <w:rFonts w:ascii="Calibri" w:hAnsi="Calibri"/>
          <w:lang w:val="el-GR"/>
        </w:rPr>
        <w:t>ΠΑΡΑΡΤΗΜΑ Ι – Αναλυτική Περιγραφή Φυσικού και Οικονομικού Αντικειμένου της Σύμβασης</w:t>
      </w:r>
      <w:bookmarkEnd w:id="0"/>
      <w:r>
        <w:rPr>
          <w:rFonts w:ascii="Calibri" w:hAnsi="Calibri"/>
          <w:lang w:val="el-GR"/>
        </w:rPr>
        <w:t xml:space="preserve"> </w:t>
      </w:r>
    </w:p>
    <w:p w14:paraId="6643F0B9" w14:textId="77777777" w:rsidR="00D41FD6" w:rsidRDefault="00D41FD6">
      <w:pPr>
        <w:pStyle w:val="normalwithoutspacing"/>
      </w:pPr>
    </w:p>
    <w:p w14:paraId="5776D879" w14:textId="77777777" w:rsidR="00D41FD6" w:rsidRDefault="00D41FD6">
      <w:pPr>
        <w:pStyle w:val="normalwithoutspacing"/>
      </w:pPr>
      <w:r>
        <w:rPr>
          <w:rFonts w:cs="Arial"/>
          <w:b/>
          <w:color w:val="002060"/>
          <w:szCs w:val="22"/>
        </w:rPr>
        <w:t>ΜΕΡΟΣ Α - ΠΕΡΙΓΡΑΦΗ ΦΥΣΙΚΟΥ ΑΝΤΙΚΕΙΜΕΝΟΥ ΤΗΣ ΣΥΜΒΑΣΗΣ</w:t>
      </w:r>
    </w:p>
    <w:p w14:paraId="25FDFE63" w14:textId="77777777" w:rsidR="00D41FD6" w:rsidRPr="006B2C94" w:rsidRDefault="00D41FD6">
      <w:pPr>
        <w:suppressAutoHyphens w:val="0"/>
        <w:autoSpaceDE w:val="0"/>
        <w:spacing w:after="60"/>
        <w:rPr>
          <w:lang w:val="el-GR"/>
        </w:rPr>
      </w:pPr>
      <w:r>
        <w:rPr>
          <w:rFonts w:eastAsia="SimSun"/>
          <w:szCs w:val="22"/>
          <w:lang w:val="el-GR"/>
        </w:rPr>
        <w:t>ΑΝΤΙΚΕΙΜΕΝΟ ΤΗΣ ΣΥΜΒΑΣΗΣ</w:t>
      </w:r>
    </w:p>
    <w:p w14:paraId="2C6B47A0" w14:textId="77777777" w:rsidR="00387D0E" w:rsidRDefault="00387D0E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p w14:paraId="3E6ECE1A" w14:textId="0CB94FDC" w:rsidR="00387D0E" w:rsidRDefault="005E0CF9">
      <w:pPr>
        <w:suppressAutoHyphens w:val="0"/>
        <w:autoSpaceDE w:val="0"/>
        <w:spacing w:after="60"/>
        <w:rPr>
          <w:lang w:val="el-GR"/>
        </w:rPr>
      </w:pPr>
      <w:r>
        <w:rPr>
          <w:lang w:val="el-GR"/>
        </w:rPr>
        <w:t>Στο πλαίσιο</w:t>
      </w:r>
      <w:r w:rsidR="00387D0E" w:rsidRPr="00387D0E">
        <w:rPr>
          <w:lang w:val="el-GR"/>
        </w:rPr>
        <w:t xml:space="preserve"> υλοποίησης του έργου με τίτλο </w:t>
      </w:r>
      <w:r w:rsidR="00A867FC" w:rsidRPr="00A867FC">
        <w:rPr>
          <w:lang w:val="el-GR"/>
        </w:rPr>
        <w:t>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 w:rsidR="00387D0E" w:rsidRPr="00387D0E">
        <w:rPr>
          <w:lang w:val="el-GR"/>
        </w:rPr>
        <w:t xml:space="preserve">, ο Ανάδοχος θα πρέπει να μεταφέρει το προσωπικό του ΙΝ.ΑΛ.Ε. στα σημεία δειγματοληψιών </w:t>
      </w:r>
      <w:r w:rsidR="00415649" w:rsidRPr="00415649">
        <w:rPr>
          <w:lang w:val="el-GR"/>
        </w:rPr>
        <w:t xml:space="preserve">και </w:t>
      </w:r>
      <w:r w:rsidR="00415649">
        <w:rPr>
          <w:lang w:val="el-GR"/>
        </w:rPr>
        <w:t xml:space="preserve">να προχωρήσει στην διενέργεια </w:t>
      </w:r>
      <w:r w:rsidR="00415649" w:rsidRPr="00415649">
        <w:rPr>
          <w:lang w:val="el-GR"/>
        </w:rPr>
        <w:t xml:space="preserve">δειγματοληψιών για </w:t>
      </w:r>
      <w:r w:rsidR="00CF4A63" w:rsidRPr="00CF4A63">
        <w:rPr>
          <w:lang w:val="el-GR"/>
        </w:rPr>
        <w:t>30-35 περίπου συνεχόμενες ημέρες</w:t>
      </w:r>
      <w:r w:rsidR="00415649">
        <w:rPr>
          <w:lang w:val="el-GR"/>
        </w:rPr>
        <w:t>,</w:t>
      </w:r>
      <w:r w:rsidR="00415649" w:rsidRPr="00415649">
        <w:rPr>
          <w:lang w:val="el-GR"/>
        </w:rPr>
        <w:t xml:space="preserve"> στο χρονικό διάστημα </w:t>
      </w:r>
      <w:r w:rsidR="00CF4A63" w:rsidRPr="00CF4A63">
        <w:rPr>
          <w:lang w:val="el-GR"/>
        </w:rPr>
        <w:t>Ιουνίου, Ιουλίου</w:t>
      </w:r>
      <w:r w:rsidR="00E6026B">
        <w:rPr>
          <w:lang w:val="el-GR"/>
        </w:rPr>
        <w:t xml:space="preserve"> και έως την 10η</w:t>
      </w:r>
      <w:r w:rsidR="00E6026B" w:rsidRPr="00CF4A63">
        <w:rPr>
          <w:lang w:val="el-GR"/>
        </w:rPr>
        <w:t xml:space="preserve"> </w:t>
      </w:r>
      <w:r w:rsidR="00CF4A63" w:rsidRPr="00CF4A63">
        <w:rPr>
          <w:lang w:val="el-GR"/>
        </w:rPr>
        <w:t>Αυγούστου 2022</w:t>
      </w:r>
      <w:r w:rsidR="00415649" w:rsidRPr="00415649">
        <w:rPr>
          <w:lang w:val="el-GR"/>
        </w:rPr>
        <w:t>, στην περιοχή του Βόρειου και Κεντρικού Αιγαίου</w:t>
      </w:r>
      <w:r w:rsidR="00415649">
        <w:rPr>
          <w:lang w:val="el-GR"/>
        </w:rPr>
        <w:t>. Οι δειγματοληψί</w:t>
      </w:r>
      <w:r w:rsidR="002C4453">
        <w:rPr>
          <w:lang w:val="el-GR"/>
        </w:rPr>
        <w:t>ες θα διεξαχθούν</w:t>
      </w:r>
      <w:r w:rsidR="00387D0E" w:rsidRPr="00387D0E">
        <w:rPr>
          <w:lang w:val="el-GR"/>
        </w:rPr>
        <w:t xml:space="preserve"> με ειδική τράτα βυθού, δειγματοληψία ιχθυοπλαγκτού με Bongonet 60 και Multi-net sampler, συλλογή βενθικών απορριμμάτων και συλλογή υδρογραφικών δεδομένων με θερμοσαλινόμετρο (CTD profiler). Η διάρκεια της αλιευτικής σύρσης στο κάθε σημείο δειγματοληψίας υπολογίζεται περίπου στα 30 λεπτά για σταθμούς έως 200μ. βάθος και 60 λεπτά για σταθμούς από 200-800μ. βάθος. Στη συνέχεια παρατίθενται τα σημεία δειγματοληψιών, τα οποία θα επαναπροσδιοριστούν σύμφωνα με τις ανάγκες του Έργου, κατόπιν υπόδειξης του Επιστημονικά Υπεύθυνου ή του επικεφαλή Αρχηγού Αποστολής του ΙΝ.ΑΛ.Ε..</w:t>
      </w:r>
    </w:p>
    <w:p w14:paraId="6069DDC0" w14:textId="77777777" w:rsidR="00387D0E" w:rsidRDefault="00387D0E">
      <w:pPr>
        <w:suppressAutoHyphens w:val="0"/>
        <w:autoSpaceDE w:val="0"/>
        <w:spacing w:after="60"/>
        <w:rPr>
          <w:lang w:val="el-GR"/>
        </w:rPr>
      </w:pPr>
    </w:p>
    <w:tbl>
      <w:tblPr>
        <w:tblW w:w="9925" w:type="dxa"/>
        <w:jc w:val="center"/>
        <w:tblLook w:val="04A0" w:firstRow="1" w:lastRow="0" w:firstColumn="1" w:lastColumn="0" w:noHBand="0" w:noVBand="1"/>
      </w:tblPr>
      <w:tblGrid>
        <w:gridCol w:w="479"/>
        <w:gridCol w:w="244"/>
        <w:gridCol w:w="806"/>
        <w:gridCol w:w="1687"/>
        <w:gridCol w:w="851"/>
        <w:gridCol w:w="992"/>
        <w:gridCol w:w="1134"/>
        <w:gridCol w:w="992"/>
        <w:gridCol w:w="880"/>
        <w:gridCol w:w="963"/>
        <w:gridCol w:w="897"/>
      </w:tblGrid>
      <w:tr w:rsidR="00387D0E" w:rsidRPr="008649DB" w14:paraId="16EDABA1" w14:textId="77777777" w:rsidTr="00CF4A63">
        <w:trPr>
          <w:trHeight w:val="276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0A2F5" w14:textId="7777777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2CA55A7" w14:textId="7777777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85C9A" w14:textId="11D5D14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58AB7" w14:textId="7777777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7513F" w14:textId="7777777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48B4A" w14:textId="7777777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098EF" w14:textId="7777777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B7D6D4" w14:textId="77777777" w:rsidR="00387D0E" w:rsidRPr="008649DB" w:rsidRDefault="00387D0E" w:rsidP="00387D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9DB">
              <w:rPr>
                <w:b/>
                <w:bCs/>
                <w:color w:val="000000"/>
                <w:sz w:val="20"/>
                <w:szCs w:val="20"/>
              </w:rPr>
              <w:t>ΑΡΧΗ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B939DE" w14:textId="77777777" w:rsidR="00387D0E" w:rsidRPr="008649DB" w:rsidRDefault="00387D0E" w:rsidP="00387D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9DB">
              <w:rPr>
                <w:b/>
                <w:bCs/>
                <w:color w:val="000000"/>
                <w:sz w:val="20"/>
                <w:szCs w:val="20"/>
              </w:rPr>
              <w:t>ΤΕΛΟΣ</w:t>
            </w:r>
          </w:p>
        </w:tc>
      </w:tr>
      <w:tr w:rsidR="00387D0E" w:rsidRPr="008649DB" w14:paraId="3E8781CF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DF8E3" w14:textId="77777777" w:rsidR="00387D0E" w:rsidRPr="008649DB" w:rsidRDefault="00387D0E" w:rsidP="00387D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49DB">
              <w:rPr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60EAE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1EC2F" w14:textId="3744BEBC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Σταθμός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ED177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Περιοχή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6AEF3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Ζώνη Βάθους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28FB2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OΡΓΙΕΣ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F7D53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Μέσο βάθος (m)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7B4F1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54896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E5D75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44FD5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Ε</w:t>
            </w:r>
          </w:p>
        </w:tc>
      </w:tr>
      <w:tr w:rsidR="00387D0E" w:rsidRPr="008649DB" w14:paraId="29AA7C97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BBD8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0FBA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31AB7" w14:textId="777E27FD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4D8B1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Δέλτα Νέστου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9BB9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E800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23CC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3370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40°50.970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3B88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24°51.840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EB2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40°51.800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E28A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24°53.560</w:t>
            </w:r>
          </w:p>
        </w:tc>
      </w:tr>
      <w:tr w:rsidR="00387D0E" w:rsidRPr="008649DB" w14:paraId="1F55266C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A723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5C6B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D6FA4" w14:textId="15527741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0CC7A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Ανατολικά της Θάσου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165B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8385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6E63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4F5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40°42.250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3104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24°57.690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452E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40°42.310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C487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24°59.680</w:t>
            </w:r>
          </w:p>
        </w:tc>
      </w:tr>
      <w:tr w:rsidR="00387D0E" w:rsidRPr="008649DB" w14:paraId="31925CC9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FB66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37D1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57DF7" w14:textId="3394321E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E1976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Ανατολικά της Θάσου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3AE9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CBD5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8126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35E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40°36.590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EEC5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25°02.940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633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40°36.430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84BD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25°04.960</w:t>
            </w:r>
          </w:p>
        </w:tc>
      </w:tr>
      <w:tr w:rsidR="00387D0E" w:rsidRPr="008649DB" w14:paraId="7BB6664C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E512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DB67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C1F9A" w14:textId="38F3C808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5605D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Αλεξανδρούπολη (Μάκρη)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EAEB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A80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6FC1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0D98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40°45.550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55F6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25°38.380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A43C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40°45.640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6A36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25°40.390</w:t>
            </w:r>
          </w:p>
        </w:tc>
      </w:tr>
      <w:tr w:rsidR="00387D0E" w:rsidRPr="008649DB" w14:paraId="2995FC7D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F7C4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CFD6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07833" w14:textId="6F5DF215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041BF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Βόρεια της Σαμοθράκης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73B1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2C13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A347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C886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40°44.070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903C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25°32.140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8E0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40°44.580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CE2C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25°34.140</w:t>
            </w:r>
          </w:p>
        </w:tc>
      </w:tr>
      <w:tr w:rsidR="00387D0E" w:rsidRPr="008649DB" w14:paraId="3133F230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4005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A5AE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E7EB3" w14:textId="2D320FF1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F5233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Βόρεια της Σαμοθράκης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138B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94AD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9518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99B0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40°39.100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E615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25°24.200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85C9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40°39.140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4992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25°26.260</w:t>
            </w:r>
          </w:p>
        </w:tc>
      </w:tr>
      <w:tr w:rsidR="00387D0E" w:rsidRPr="008649DB" w14:paraId="472460DC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FBC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CC27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E8B36" w14:textId="609D61C6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F891C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Ανατολικά της Θάσου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BBFA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34FC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7E89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2F9B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40°37.000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1D96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25°07.660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E706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40°37.180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A0DE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25°09.610</w:t>
            </w:r>
          </w:p>
        </w:tc>
      </w:tr>
      <w:tr w:rsidR="00387D0E" w:rsidRPr="008649DB" w14:paraId="682F6C64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4C13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642F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7CDF" w14:textId="347D51C2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74B74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Νότιο-ανατολικά της Θάσου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6962F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C320F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9510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547E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40°34.140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3B5F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24°51.820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8B12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40°34.350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0F8A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24°53.760</w:t>
            </w:r>
          </w:p>
        </w:tc>
      </w:tr>
      <w:tr w:rsidR="00387D0E" w:rsidRPr="008649DB" w14:paraId="3DA85792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E16B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9370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B2567" w14:textId="5934B0A3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6CB0B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Νότιο-ανατολικά της Θάσου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82AC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D0C1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5063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BAF7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40°28.730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63E8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24°56.700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93E3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40°29.620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3E1C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24°52.920</w:t>
            </w:r>
          </w:p>
        </w:tc>
      </w:tr>
      <w:tr w:rsidR="00387D0E" w:rsidRPr="008649DB" w14:paraId="1807006C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4473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81CD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C03C2" w14:textId="4071E5C2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9051E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Βόρεια της Λήμνου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608F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500-800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3E1D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C192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CAB8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40°11.350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E32A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25°20.300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97F1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40°09.660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C7F9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25°17.070</w:t>
            </w:r>
          </w:p>
        </w:tc>
      </w:tr>
      <w:tr w:rsidR="00387D0E" w:rsidRPr="008649DB" w14:paraId="41C4E5DF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7F6C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0E32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38F21" w14:textId="3CC83EE0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6C679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Δυτικά της Λήμνου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8CF7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D162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88A6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3359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39°57.990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AB77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24°47.940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D4E7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39°55.370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C75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24°46.020</w:t>
            </w:r>
          </w:p>
        </w:tc>
      </w:tr>
      <w:tr w:rsidR="00387D0E" w:rsidRPr="008649DB" w14:paraId="3295D1A8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3609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AC89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CA299" w14:textId="2DB634F8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68E16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Βόρειο-δυτικά της Λήμνου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5DF4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500-800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34EE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5EE6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77EA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40°05.780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3482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24°45.140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2E3F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40°04.040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791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24°46.830</w:t>
            </w:r>
          </w:p>
        </w:tc>
      </w:tr>
      <w:tr w:rsidR="00387D0E" w:rsidRPr="008649DB" w14:paraId="2289AB2A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8F37F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8343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22454" w14:textId="188F038F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89882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Μύρινα Λήμνου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FA5F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DEBE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02FE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B483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39°56.930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F9F1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25°00.710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6CEC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39°55.370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6B20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25°00.680</w:t>
            </w:r>
          </w:p>
        </w:tc>
      </w:tr>
      <w:tr w:rsidR="00387D0E" w:rsidRPr="008649DB" w14:paraId="07AB962C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8294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D299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4330E" w14:textId="21488684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764A5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Νότια της Λήμνου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CEF7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CC80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1CBB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1275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39°46.540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EF1B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25°08.720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D0E9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39°46.540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6A24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25°10.680</w:t>
            </w:r>
          </w:p>
        </w:tc>
      </w:tr>
      <w:tr w:rsidR="00387D0E" w:rsidRPr="008649DB" w14:paraId="6CDAE8D3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CC17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F1E0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5F360" w14:textId="6F10F25F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69639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>Μεταξύ Λήμνου και Άη Στράτη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DD53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93D8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B284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443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39°43.070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AEE5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25°01.260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739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39°42.650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F48D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24°59.640</w:t>
            </w:r>
          </w:p>
        </w:tc>
      </w:tr>
      <w:tr w:rsidR="00387D0E" w:rsidRPr="008649DB" w14:paraId="2C09EBD5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2DCB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2F23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B22B0" w14:textId="429F9B3B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EA696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Δυτικά του Άη Στράτη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98A8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351A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1396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32EC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39°32.210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681C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24°53.130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C8D7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39°31.110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B416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24°54.480</w:t>
            </w:r>
          </w:p>
        </w:tc>
      </w:tr>
      <w:tr w:rsidR="00387D0E" w:rsidRPr="008649DB" w14:paraId="0D39196F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205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7AE6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9D0BD" w14:textId="71E1E76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D287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Νότια του Άη Στράτη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E662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1A93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605B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609A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39°06.930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E4DF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25°01.940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31E2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39°08.900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BB6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25°04.880</w:t>
            </w:r>
          </w:p>
        </w:tc>
      </w:tr>
      <w:tr w:rsidR="00387D0E" w:rsidRPr="008649DB" w14:paraId="56C00B96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17CB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390D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A0D3D" w14:textId="446A148F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A9CB3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 xml:space="preserve">Μεταξύ Λέσβου και </w:t>
            </w:r>
            <w:r w:rsidRPr="008649DB">
              <w:rPr>
                <w:sz w:val="16"/>
                <w:szCs w:val="16"/>
              </w:rPr>
              <w:lastRenderedPageBreak/>
              <w:t>Σκύρου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A5A1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lastRenderedPageBreak/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E234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4FB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E679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39°06.570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9D21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25°16.910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DB77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39°07.990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4146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25°20.180</w:t>
            </w:r>
          </w:p>
        </w:tc>
      </w:tr>
      <w:tr w:rsidR="00387D0E" w:rsidRPr="008649DB" w14:paraId="6205D0F5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9549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79F7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935A" w14:textId="01F74466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4C3C0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Μεταξύ Λέσβου και Σκύρου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697B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6D77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3D7F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1681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39°04.400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20A4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25°13.153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FED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39°05.515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C542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25°16.702</w:t>
            </w:r>
          </w:p>
        </w:tc>
      </w:tr>
      <w:tr w:rsidR="00387D0E" w:rsidRPr="008649DB" w14:paraId="39B77AC6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30F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4579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8D456" w14:textId="6D7CC090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6BCF7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Μεταξύ Λέσβου και Σκύρου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FB6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E76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12DD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91E8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38°53.200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5CD0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25°10.000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8770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38°51.700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A1A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25°10.010</w:t>
            </w:r>
          </w:p>
        </w:tc>
      </w:tr>
      <w:tr w:rsidR="00387D0E" w:rsidRPr="008649DB" w14:paraId="278A52BC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DDD3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F309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D48CD" w14:textId="69D09C75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E9992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Νότιο-δυτικά της Χίου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6394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F237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0768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0F5D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38°10.040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3DAE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25°31.270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1805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38°10.680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4B0A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25°34.880</w:t>
            </w:r>
          </w:p>
        </w:tc>
      </w:tr>
      <w:tr w:rsidR="00387D0E" w:rsidRPr="008649DB" w14:paraId="7222B6FD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4BC2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8D00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222EA" w14:textId="78C7BC8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25E8D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Νότιο-δυτικά της Χίου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2099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77CF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1DAA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E517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38°11.570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76A5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25°35.320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762F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38°13.350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CBC5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25°38.260</w:t>
            </w:r>
          </w:p>
        </w:tc>
      </w:tr>
      <w:tr w:rsidR="00387D0E" w:rsidRPr="008649DB" w14:paraId="0EFA3B44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2F02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A3C5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33BAB" w14:textId="7E70870F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4D781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Ανατολικά της Λέσβου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C352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0B37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2F92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74A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39°12.860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0436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26°32.620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72E5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39°11.930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8E08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26°33.890</w:t>
            </w:r>
          </w:p>
        </w:tc>
      </w:tr>
      <w:tr w:rsidR="00387D0E" w:rsidRPr="008649DB" w14:paraId="35A3EAD7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0573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673E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1666" w14:textId="43E9B30B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B2816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Νότιο-δυτικά των Αντίψαρων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DB67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500-800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D272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4DB9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EFF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38°22.810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7216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25°21.500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879D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38°21.210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7848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25°18.550</w:t>
            </w:r>
          </w:p>
        </w:tc>
      </w:tr>
      <w:tr w:rsidR="00387D0E" w:rsidRPr="008649DB" w14:paraId="0C9B14AE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502A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3C2A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2FA75" w14:textId="7C185221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F5338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Δυτικά των Αντίψαρων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8305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500-800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08E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14D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0E9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38°27.370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B80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25°16.020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C45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38°30.050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56D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25°17.570</w:t>
            </w:r>
          </w:p>
        </w:tc>
      </w:tr>
      <w:tr w:rsidR="00387D0E" w:rsidRPr="008649DB" w14:paraId="3585355E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50EE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CEED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8CC5F" w14:textId="2D1EAA6D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50AEF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Μεταξύ Λέσβου και Σκύρου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17C6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DF50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EBCB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1C1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38°50.900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4318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25°13.310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D41C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38°50.150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1C73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25°14.940</w:t>
            </w:r>
          </w:p>
        </w:tc>
      </w:tr>
      <w:tr w:rsidR="00387D0E" w:rsidRPr="008649DB" w14:paraId="02D6A73B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D388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D53A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F7E85" w14:textId="2FE28BE3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5937A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Μεταξύ Ψαρών και Σκύρου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77D0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108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A80C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B308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38°43.820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27E6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25°02.690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7B51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38°46.300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C243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25°04.810</w:t>
            </w:r>
          </w:p>
        </w:tc>
      </w:tr>
      <w:tr w:rsidR="00387D0E" w:rsidRPr="008649DB" w14:paraId="1F4A6EA4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A33F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C093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840AE" w14:textId="7D1E7BB0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63BBC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Μεταξύ Σκύρου και Κύμης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E841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500-800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F778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9167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085D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38°43.910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B471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24°24.510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25FB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38°43.620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E07B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24°20.700</w:t>
            </w:r>
          </w:p>
        </w:tc>
      </w:tr>
      <w:tr w:rsidR="00387D0E" w:rsidRPr="008649DB" w14:paraId="3BDB2450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352F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B56C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16DFF" w14:textId="527A93F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59AF1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Δυτικά της Σκύρου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5D81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F70D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A13A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08BD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38°52.340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27EE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24°08.380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BCAD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38°52.390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1B9A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24°04.520</w:t>
            </w:r>
          </w:p>
        </w:tc>
      </w:tr>
      <w:tr w:rsidR="00387D0E" w:rsidRPr="008649DB" w14:paraId="4830850E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CEE3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1B0F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AEBE6" w14:textId="538CE749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8BA6F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Βόρεια της Σκύρου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5130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80A8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890B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5AF9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39°03.850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740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24°26.320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6C6A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39°02.380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BE4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24°25.930</w:t>
            </w:r>
          </w:p>
        </w:tc>
      </w:tr>
      <w:tr w:rsidR="00387D0E" w:rsidRPr="008649DB" w14:paraId="6D4AE8F8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D4D1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A769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25CFD" w14:textId="733DC3B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6519D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Ανατολικά της Σκάντζουρας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5EFF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3C15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D85B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0A10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38°53.460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DEBD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24°16.830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EA68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38°56.420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82F4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24°17.440</w:t>
            </w:r>
          </w:p>
        </w:tc>
      </w:tr>
      <w:tr w:rsidR="00387D0E" w:rsidRPr="008649DB" w14:paraId="4B0F48C2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8703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57FC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522FB" w14:textId="11F32A96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BB18E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Νότιο-ανατολικά της Σκάντζουρας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5B2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5E8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36BA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4E77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38°56.580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184B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24°07.180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E612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38°57.550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250B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24°10.960</w:t>
            </w:r>
          </w:p>
        </w:tc>
      </w:tr>
      <w:tr w:rsidR="00387D0E" w:rsidRPr="008649DB" w14:paraId="127CB3D4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710DF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D58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EFF0D" w14:textId="25F3D37B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B4680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Νότια της Αλονήσσου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C7FD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1C90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8FA0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D20F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39°05.120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724B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23°48.740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91B3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39°03.692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4C09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23°48.732</w:t>
            </w:r>
          </w:p>
        </w:tc>
      </w:tr>
      <w:tr w:rsidR="00387D0E" w:rsidRPr="008649DB" w14:paraId="0F8A8A6F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B793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3030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5614F" w14:textId="5280463A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2EDFC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Νότια της Σκοπέλου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0D80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C6B9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908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FCE9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38°53.860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4D2D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23°46.400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8679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39°02.820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B6A5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23°45.520</w:t>
            </w:r>
          </w:p>
        </w:tc>
      </w:tr>
      <w:tr w:rsidR="00387D0E" w:rsidRPr="008649DB" w14:paraId="003A989B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D721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6D80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F4EF9" w14:textId="5A67E2DB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58624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Μεταξύ Σκοπέλου και Σκιάθου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7EB3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6A80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88CE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23F8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39°05.890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BEE1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23°29.510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8DBB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39°06.040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1D7A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23°25.600</w:t>
            </w:r>
          </w:p>
        </w:tc>
      </w:tr>
      <w:tr w:rsidR="00387D0E" w:rsidRPr="008649DB" w14:paraId="548EC187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D269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8D6B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F0046" w14:textId="104B6B8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A37E0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Ανατολικά των Ωραιών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E59E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CB2D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692F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D16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39°00.980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BEA1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23°10.430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01D4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39°01.050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F9A4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23°12.370</w:t>
            </w:r>
          </w:p>
        </w:tc>
      </w:tr>
      <w:tr w:rsidR="00387D0E" w:rsidRPr="008649DB" w14:paraId="0C014B8B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33E2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8FBD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4E791" w14:textId="2902C915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46763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Βόρειος Ευβοικός (Αρκίτσα)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F264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BEEB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F7E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FA0A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38°41.379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CA5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23°19.863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90A6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38°42.750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0DDF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23°20.300</w:t>
            </w:r>
          </w:p>
        </w:tc>
      </w:tr>
      <w:tr w:rsidR="00387D0E" w:rsidRPr="008649DB" w14:paraId="07D804DE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BC70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C15B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FF000" w14:textId="0712B024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70545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Βόρειος Ευβοικός (Αιδηψός)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F6A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C65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6486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586B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38°49.100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E03C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23°07.090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2E4E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38°48.580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4009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23°10.890</w:t>
            </w:r>
          </w:p>
        </w:tc>
      </w:tr>
      <w:tr w:rsidR="00387D0E" w:rsidRPr="008649DB" w14:paraId="19B2FBFD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F61F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2E74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CEAE2" w14:textId="4BDAEA7F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BD0DD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Βόρεια της Σκιάθου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BCB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CEA9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4D1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B3C7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39°18.800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B361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23°27.440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CA7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39°16.910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5427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23°30.440</w:t>
            </w:r>
          </w:p>
        </w:tc>
      </w:tr>
      <w:tr w:rsidR="00387D0E" w:rsidRPr="008649DB" w14:paraId="2DEA585A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9D40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9515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7F673" w14:textId="754F39CD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64E75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Ανατολικά Ακρωτηρίου Πουρί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C9D3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8487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0858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02BE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39°32.480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1AAF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23°10.600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8A26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39°29.840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BB0C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23°12.550</w:t>
            </w:r>
          </w:p>
        </w:tc>
      </w:tr>
      <w:tr w:rsidR="00387D0E" w:rsidRPr="008649DB" w14:paraId="38D8B73E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C512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1E7F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24AEB" w14:textId="1262C87C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0D59D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>Βορει-δυτικά ακρωτηρίου Πύργος (Θερμαικός)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FC35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6FD7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6B8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490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40°10.810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389F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23°16.410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02B8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40°09.310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1FA3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23°15.470</w:t>
            </w:r>
          </w:p>
        </w:tc>
      </w:tr>
      <w:tr w:rsidR="00387D0E" w:rsidRPr="008649DB" w14:paraId="5619B724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AA64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C2C8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F88F" w14:textId="2E1D651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463FC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Ανατολικά της Λεπτοκαρυάς (Θερμαικός)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C92D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90E5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75E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FE54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40°02.420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9DC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22°56.170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08B9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40°02.550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932A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22°54.030</w:t>
            </w:r>
          </w:p>
        </w:tc>
      </w:tr>
      <w:tr w:rsidR="00387D0E" w:rsidRPr="008649DB" w14:paraId="20B8B921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3C4EF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FAE0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6CB08" w14:textId="2605E71B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7D351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Ανατολικά του Πλαταμώνα (Θερμαικός)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282F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84FC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12D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076E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39°59.490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E3E6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22°46.480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BED8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40°00.340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30E4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22°48.530</w:t>
            </w:r>
          </w:p>
        </w:tc>
      </w:tr>
      <w:tr w:rsidR="00387D0E" w:rsidRPr="008649DB" w14:paraId="7D8A87A7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2E4F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0D3B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646CC" w14:textId="7C443DB9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6D801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Ανατολικά της Λεπτοκαρυάς (Θερμαικός)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9545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4528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E301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7237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40°03.600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9636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22°38.250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73CF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40°04.730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A7B5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22°36.910</w:t>
            </w:r>
          </w:p>
        </w:tc>
      </w:tr>
      <w:tr w:rsidR="00387D0E" w:rsidRPr="008649DB" w14:paraId="0E932F18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303B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A39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22247" w14:textId="77C7413C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9CA5F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Ανατολικά του Λιτόχωρου (Θερμαικός)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56A6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3E6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78DE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A9FA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40°08.770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4B8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22°39.790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DDBB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40°07.190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4C4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22°39.550</w:t>
            </w:r>
          </w:p>
        </w:tc>
      </w:tr>
      <w:tr w:rsidR="00387D0E" w:rsidRPr="008649DB" w14:paraId="25BAC2EF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26EC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2910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0B7F1" w14:textId="5C77B1F3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D3E65" w14:textId="77777777" w:rsidR="00387D0E" w:rsidRPr="00387D0E" w:rsidRDefault="00387D0E" w:rsidP="00387D0E">
            <w:pPr>
              <w:rPr>
                <w:color w:val="000000"/>
                <w:sz w:val="16"/>
                <w:szCs w:val="16"/>
                <w:lang w:val="el-GR"/>
              </w:rPr>
            </w:pPr>
            <w:r w:rsidRPr="00387D0E">
              <w:rPr>
                <w:color w:val="000000"/>
                <w:sz w:val="16"/>
                <w:szCs w:val="16"/>
                <w:lang w:val="el-GR"/>
              </w:rPr>
              <w:t>Ανατολικά του Ακρωτηρίου Αθερίδα (Θερμαικός)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F51C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214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92AD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D144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40°16.650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EF84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22°41.110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8710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40°15.190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4BED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22°40.380</w:t>
            </w:r>
          </w:p>
        </w:tc>
      </w:tr>
      <w:tr w:rsidR="00387D0E" w:rsidRPr="008649DB" w14:paraId="14319756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5097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7399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8EE5F" w14:textId="52B31DB3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DB209" w14:textId="77777777" w:rsidR="00387D0E" w:rsidRPr="00387D0E" w:rsidRDefault="00387D0E" w:rsidP="00387D0E">
            <w:pPr>
              <w:rPr>
                <w:color w:val="000000"/>
                <w:sz w:val="16"/>
                <w:szCs w:val="16"/>
                <w:lang w:val="el-GR"/>
              </w:rPr>
            </w:pPr>
            <w:r w:rsidRPr="00387D0E">
              <w:rPr>
                <w:color w:val="000000"/>
                <w:sz w:val="16"/>
                <w:szCs w:val="16"/>
                <w:lang w:val="el-GR"/>
              </w:rPr>
              <w:t>Ανατολικά του Ακρωτηρίου Αθερίδα (Θερμαικός)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4097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C005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6930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24F1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40°14.200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0713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22°48.400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3C7E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40°14.960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8FE5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22°50.210</w:t>
            </w:r>
          </w:p>
        </w:tc>
      </w:tr>
      <w:tr w:rsidR="00387D0E" w:rsidRPr="008649DB" w14:paraId="5EC23E3A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7884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56CB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3AA96" w14:textId="2ABA10DB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42F6F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Ανατολικά του Ακρωτηρίου Κίσσαβος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C813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667F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0073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091B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39°48.070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29B5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23°03.840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EBA4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39°47.270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D869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23°02.140</w:t>
            </w:r>
          </w:p>
        </w:tc>
      </w:tr>
      <w:tr w:rsidR="00387D0E" w:rsidRPr="008649DB" w14:paraId="52725A3D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A275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DAB6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305A6" w14:textId="19C86314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C8620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>Νότιο-ανατολικά του Ακρωτηρίου Κασσάνδρας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244C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5674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6DDB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56D2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39°49.630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A6F8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23°13.000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5648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39°48.780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DC09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23°11.360</w:t>
            </w:r>
          </w:p>
        </w:tc>
      </w:tr>
      <w:tr w:rsidR="00387D0E" w:rsidRPr="008649DB" w14:paraId="34D15FA6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CB9E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F32A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4309B" w14:textId="50F4ECD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95671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Δυτικά της Σίβηρης (Θερμαικός)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6065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F0B6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564A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34CA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40°00.580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FC74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23°02.350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F1B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40°00.880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B36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23°00.330</w:t>
            </w:r>
          </w:p>
        </w:tc>
      </w:tr>
      <w:tr w:rsidR="00387D0E" w:rsidRPr="008649DB" w14:paraId="29608FE2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F313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9D6E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7AAC" w14:textId="30B6E0C6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F1B50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>Νότια της Νέας Σκιώνης Χαλκιδικής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7853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F18F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E01E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C58B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39°50.420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3E46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23°33.170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E3CA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39°49.440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9A87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23°36.820</w:t>
            </w:r>
          </w:p>
        </w:tc>
      </w:tr>
      <w:tr w:rsidR="00387D0E" w:rsidRPr="008649DB" w14:paraId="0B30699F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CA2D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17F3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03F30" w14:textId="2A1761D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5050E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>Νότια της Νέας Σκιώνης Χαλκιδικής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FC42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4CC6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198A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927D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39°51.090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A244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23°24.220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F2C2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39°53.070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CFAD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23°27.190</w:t>
            </w:r>
          </w:p>
        </w:tc>
      </w:tr>
      <w:tr w:rsidR="00387D0E" w:rsidRPr="008649DB" w14:paraId="3F634956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0A5D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4947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81CD3" w14:textId="6049984C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6A910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Κόλπος Κασσάνδρας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09F8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5F52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9FE6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29D1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40°03.580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0B6F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23°35.900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741F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40°02.000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AC20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23°39.260</w:t>
            </w:r>
          </w:p>
        </w:tc>
      </w:tr>
      <w:tr w:rsidR="00387D0E" w:rsidRPr="008649DB" w14:paraId="3C0F65A4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12F3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6E9E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C91E4" w14:textId="67A098E8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5B3EB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Κόλπος Κασσάνδρας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3FAE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DB3D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9B20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F658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40°05.500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69B4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23°38.220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EAA5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40°07.470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A698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23°35.390</w:t>
            </w:r>
          </w:p>
        </w:tc>
      </w:tr>
      <w:tr w:rsidR="00387D0E" w:rsidRPr="008649DB" w14:paraId="7FF3584C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B194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839A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46977" w14:textId="651829CB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E36E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>Μεταξύ των Ακρωτηρίων Ψευδοκάβος και Πίννες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7CDB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B249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7A98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F260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40°00.880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3157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24°08.970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C3DA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40°03.320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69A1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24°11.190</w:t>
            </w:r>
          </w:p>
        </w:tc>
      </w:tr>
      <w:tr w:rsidR="00387D0E" w:rsidRPr="008649DB" w14:paraId="4CA00DB8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4EE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DEB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A28D" w14:textId="3598542C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FEDDD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Νότια της Θάσου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50DA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A903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980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127F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40°29.910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756B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24°42.970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B3F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40°30.390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33D3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24°44.780</w:t>
            </w:r>
          </w:p>
        </w:tc>
      </w:tr>
      <w:tr w:rsidR="00387D0E" w:rsidRPr="008649DB" w14:paraId="67E89669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B222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0F03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A6252" w14:textId="072B192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AE56B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Ανατολικά του Όρους Άθως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FF6A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5B0F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2E73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C3F8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40°17.720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14F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24°19.570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4DEB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40°18.590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FE95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24°18.010</w:t>
            </w:r>
          </w:p>
        </w:tc>
      </w:tr>
      <w:tr w:rsidR="00387D0E" w:rsidRPr="008649DB" w14:paraId="01A8EC76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F1D2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2C75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D2C70" w14:textId="56BC6245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EC064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Στρυμονικός Κόλπος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B84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4A69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827A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5227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40°38.020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89E2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23°54.190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907D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40°37.080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F186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23°55.680</w:t>
            </w:r>
          </w:p>
        </w:tc>
      </w:tr>
      <w:tr w:rsidR="00387D0E" w:rsidRPr="008649DB" w14:paraId="6F63A7DF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41CD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74A4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36A3B" w14:textId="2F74FE2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F1D9F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Ανατολικά του Όρους Άθως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01B7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AF27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3615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B333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40°28.190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84CD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24°12.490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8FD7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40°29.620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FC55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24°12.050</w:t>
            </w:r>
          </w:p>
        </w:tc>
      </w:tr>
      <w:tr w:rsidR="00387D0E" w:rsidRPr="008649DB" w14:paraId="2A56D70E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C187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6EC6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349D8" w14:textId="67F96866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4E1A7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Στρυμονικός Κόλπος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172A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81FD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B987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5AB2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40°34.770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FCC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24°12.530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BFD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40°36.346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1B19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24°12.148</w:t>
            </w:r>
          </w:p>
        </w:tc>
      </w:tr>
      <w:tr w:rsidR="00387D0E" w:rsidRPr="008649DB" w14:paraId="46245A11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50ED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9517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6A438" w14:textId="7E47A246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6E3F2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Κόλπος Καβάλας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3681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D4ED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4E9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E328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40°42.960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4FF5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24°29.840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4A37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40°44.360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F030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24°30.650</w:t>
            </w:r>
          </w:p>
        </w:tc>
      </w:tr>
      <w:tr w:rsidR="00387D0E" w:rsidRPr="008649DB" w14:paraId="7C89D479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02A4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FE9E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38392" w14:textId="5527FE34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B497D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Νότιο-δυτικά της Θάσου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F04E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B9FC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865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854E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40°28.450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F22A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24°21.680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2161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40°31.030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83D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24°23.590</w:t>
            </w:r>
          </w:p>
        </w:tc>
      </w:tr>
      <w:tr w:rsidR="00387D0E" w:rsidRPr="008649DB" w14:paraId="6755AE22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9327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E5BF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12F6E" w14:textId="66CD3B0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57E01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>Νότιο-δυτικά από Σύγρι Λέσβου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FCD8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D3DE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C18F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76E7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39°08.710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67D5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25°49.800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23FF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39°09.800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D327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25°48.540</w:t>
            </w:r>
          </w:p>
        </w:tc>
      </w:tr>
      <w:tr w:rsidR="00387D0E" w:rsidRPr="008649DB" w14:paraId="7D6AD82B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6437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1573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70266" w14:textId="40FB56E5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3D88D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Βόρειο-ανατολικά της Λέσβου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7565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9100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8485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AFD4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39°21.650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2787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26°26.500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321A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39°20.800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EC9A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26°28.000</w:t>
            </w:r>
          </w:p>
        </w:tc>
      </w:tr>
      <w:tr w:rsidR="00387D0E" w:rsidRPr="008649DB" w14:paraId="3265F2F7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3D4E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C7A2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C1968" w14:textId="36BB085C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7830C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Βόρεια της Λέσβου (Μήθυμνα)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B3C2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F610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9767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1E2C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39°20.610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5032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26°03.890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7688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39°22.210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2071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26°07.160</w:t>
            </w:r>
          </w:p>
        </w:tc>
      </w:tr>
    </w:tbl>
    <w:p w14:paraId="3BE58819" w14:textId="77777777" w:rsidR="00387D0E" w:rsidRPr="006B2C94" w:rsidRDefault="00387D0E">
      <w:pPr>
        <w:suppressAutoHyphens w:val="0"/>
        <w:autoSpaceDE w:val="0"/>
        <w:spacing w:after="60"/>
        <w:rPr>
          <w:lang w:val="el-GR"/>
        </w:rPr>
      </w:pPr>
    </w:p>
    <w:p w14:paraId="2E1A1FC5" w14:textId="050B9B0B" w:rsidR="00CF4A63" w:rsidRPr="00443798" w:rsidRDefault="00CF4A63" w:rsidP="00C318F8">
      <w:pPr>
        <w:suppressAutoHyphens w:val="0"/>
        <w:autoSpaceDE w:val="0"/>
        <w:spacing w:after="60"/>
        <w:rPr>
          <w:lang w:val="el-GR"/>
        </w:rPr>
      </w:pPr>
      <w:r w:rsidRPr="00443798">
        <w:rPr>
          <w:lang w:val="el-GR"/>
        </w:rPr>
        <w:t>Η διάρκεια της Σύμβασης ορίζεται στις 30-35 περίπου σ</w:t>
      </w:r>
      <w:r w:rsidR="00BF3C5E" w:rsidRPr="00443798">
        <w:rPr>
          <w:lang w:val="el-GR"/>
        </w:rPr>
        <w:t>υνεχόμενες ημέρες δειγματοληψιών</w:t>
      </w:r>
      <w:r w:rsidRPr="00443798">
        <w:rPr>
          <w:lang w:val="el-GR"/>
        </w:rPr>
        <w:t>, από την ημερομηνία επιβίβασης του επιστημονικού προσωπικού του ΙΝ</w:t>
      </w:r>
      <w:r w:rsidR="00443798" w:rsidRPr="00443798">
        <w:rPr>
          <w:lang w:val="el-GR"/>
        </w:rPr>
        <w:t>.</w:t>
      </w:r>
      <w:r w:rsidRPr="00443798">
        <w:rPr>
          <w:lang w:val="el-GR"/>
        </w:rPr>
        <w:t>ΑΛ</w:t>
      </w:r>
      <w:r w:rsidR="00443798" w:rsidRPr="00443798">
        <w:rPr>
          <w:lang w:val="el-GR"/>
        </w:rPr>
        <w:t>.</w:t>
      </w:r>
      <w:r w:rsidRPr="00443798">
        <w:rPr>
          <w:lang w:val="el-GR"/>
        </w:rPr>
        <w:t>Ε</w:t>
      </w:r>
      <w:r w:rsidR="00443798" w:rsidRPr="00443798">
        <w:rPr>
          <w:lang w:val="el-GR"/>
        </w:rPr>
        <w:t>.</w:t>
      </w:r>
      <w:r w:rsidRPr="00443798">
        <w:rPr>
          <w:lang w:val="el-GR"/>
        </w:rPr>
        <w:t xml:space="preserve"> στο σκάφος </w:t>
      </w:r>
      <w:r w:rsidR="005F4FF0" w:rsidRPr="00443798">
        <w:rPr>
          <w:lang w:val="el-GR"/>
        </w:rPr>
        <w:t>έως την</w:t>
      </w:r>
      <w:r w:rsidRPr="00443798">
        <w:rPr>
          <w:lang w:val="el-GR"/>
        </w:rPr>
        <w:t xml:space="preserve"> ημερομηνία αποβίβασής του. Η μίσθωση του σκάφους προβλέπεται για το διάστημα Ιουνίου, Ιουλίου</w:t>
      </w:r>
      <w:r w:rsidR="00E6026B" w:rsidRPr="00443798">
        <w:rPr>
          <w:lang w:val="el-GR"/>
        </w:rPr>
        <w:t xml:space="preserve"> και έως την 10η </w:t>
      </w:r>
      <w:r w:rsidRPr="00443798">
        <w:rPr>
          <w:lang w:val="el-GR"/>
        </w:rPr>
        <w:t>Αυγούστου 2022. Η Αναθέτουσα Αρχή έχει μονομερές δικαίωμα να διακόψει τις δειγματοληψίες λόγω έκτακτων συνθηκών όπως δυσμενείς καιρικές συνθήκες, κρούσματα COVID-19, αποκατάσταση ζημιών, απώλεια αλιευτικών εργαλείων κ.α. και να ορίσει την ημερομηνία συνέχισης των υπολειπόμενων δειγματοληψιών.</w:t>
      </w:r>
    </w:p>
    <w:p w14:paraId="6358BC93" w14:textId="1BB458A1" w:rsidR="00204575" w:rsidRDefault="005F4FF0" w:rsidP="00C318F8">
      <w:pPr>
        <w:suppressAutoHyphens w:val="0"/>
        <w:autoSpaceDE w:val="0"/>
        <w:spacing w:after="60"/>
        <w:rPr>
          <w:lang w:val="el-GR"/>
        </w:rPr>
      </w:pPr>
      <w:r w:rsidRPr="00443798">
        <w:rPr>
          <w:lang w:val="el-GR"/>
        </w:rPr>
        <w:lastRenderedPageBreak/>
        <w:t xml:space="preserve">Το ΙΝ.ΑΛ.Ε. ειδοποιεί </w:t>
      </w:r>
      <w:r w:rsidR="007E0575" w:rsidRPr="00443798">
        <w:rPr>
          <w:lang w:val="el-GR"/>
        </w:rPr>
        <w:t xml:space="preserve">έγκαιρα </w:t>
      </w:r>
      <w:r w:rsidRPr="00443798">
        <w:rPr>
          <w:lang w:val="el-GR"/>
        </w:rPr>
        <w:t xml:space="preserve">τον εκναυλωτή </w:t>
      </w:r>
      <w:r w:rsidR="007E0575" w:rsidRPr="00443798">
        <w:rPr>
          <w:lang w:val="el-GR"/>
        </w:rPr>
        <w:t xml:space="preserve">για </w:t>
      </w:r>
      <w:r w:rsidRPr="00443798">
        <w:rPr>
          <w:lang w:val="el-GR"/>
        </w:rPr>
        <w:t xml:space="preserve">την </w:t>
      </w:r>
      <w:r w:rsidR="007E0575" w:rsidRPr="00443798">
        <w:rPr>
          <w:lang w:val="el-GR"/>
        </w:rPr>
        <w:t xml:space="preserve">ημερομηνία επιβίβασης του επιστημονικού προσωπικού του ΙΝΑΛΕ στο σκάφος </w:t>
      </w:r>
      <w:r w:rsidR="00DE3DC2" w:rsidRPr="00443798">
        <w:rPr>
          <w:lang w:val="el-GR"/>
        </w:rPr>
        <w:t>και</w:t>
      </w:r>
      <w:r w:rsidR="007E0575" w:rsidRPr="00443798">
        <w:rPr>
          <w:lang w:val="el-GR"/>
        </w:rPr>
        <w:t xml:space="preserve"> </w:t>
      </w:r>
      <w:r w:rsidR="00DE3DC2" w:rsidRPr="00443798">
        <w:rPr>
          <w:lang w:val="el-GR"/>
        </w:rPr>
        <w:t xml:space="preserve">για </w:t>
      </w:r>
      <w:r w:rsidR="007E0575" w:rsidRPr="00443798">
        <w:rPr>
          <w:lang w:val="el-GR"/>
        </w:rPr>
        <w:t>τον λιμένα</w:t>
      </w:r>
      <w:r w:rsidR="00DE3DC2" w:rsidRPr="00443798">
        <w:rPr>
          <w:lang w:val="el-GR"/>
        </w:rPr>
        <w:t xml:space="preserve"> αναχώρησης</w:t>
      </w:r>
      <w:r w:rsidR="007E0575" w:rsidRPr="00443798">
        <w:rPr>
          <w:lang w:val="el-GR"/>
        </w:rPr>
        <w:t xml:space="preserve">. Σε περίπτωση που εν τω μεταξύ </w:t>
      </w:r>
      <w:r w:rsidR="00DE3DC2" w:rsidRPr="00443798">
        <w:rPr>
          <w:lang w:val="el-GR"/>
        </w:rPr>
        <w:t>υπάρξουν δυσμενείς καιρικές συνθήκες και δε καταστεί δυνατή η έναρξη του προγράμματος, το ΙΝ.ΑΛ.Ε. δύναται να ορίσει νέα ημερομηνία.</w:t>
      </w:r>
    </w:p>
    <w:p w14:paraId="671B41B3" w14:textId="77777777" w:rsidR="006D5DEF" w:rsidRDefault="006D5DEF" w:rsidP="00C318F8">
      <w:pPr>
        <w:suppressAutoHyphens w:val="0"/>
        <w:autoSpaceDE w:val="0"/>
        <w:spacing w:after="60"/>
        <w:rPr>
          <w:lang w:val="el-GR"/>
        </w:rPr>
      </w:pPr>
    </w:p>
    <w:p w14:paraId="2DB36297" w14:textId="3B418ACE" w:rsidR="00612C3A" w:rsidRDefault="00415649" w:rsidP="00C318F8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Στο </w:t>
      </w:r>
      <w:r w:rsidR="00C318F8" w:rsidRPr="00C318F8">
        <w:rPr>
          <w:rFonts w:eastAsia="SimSun"/>
          <w:szCs w:val="22"/>
          <w:lang w:val="el-GR"/>
        </w:rPr>
        <w:t>ΠΑΡΑΡΤΗΜΑ ΙΙ –ΕΙΔΙΚΟΤΕΡΟΙ ΟΡΟΙ ΚΑΙ ΤΕΧΝΙΚΕΣ ΠΡΟΔΙΑΓΡΑΦΕΣ ΑΛΙΕΥΤΙΚΟΥ ΣΚΑΦΟΥΣ</w:t>
      </w:r>
      <w:r>
        <w:rPr>
          <w:rFonts w:eastAsia="SimSun"/>
          <w:szCs w:val="22"/>
          <w:lang w:val="el-GR"/>
        </w:rPr>
        <w:t xml:space="preserve"> αναφέρονται αναλυτικά οι απαιτήσεις και οι τεχνικές προδιαγραφές για την παροχή υπηρεσίας.</w:t>
      </w:r>
    </w:p>
    <w:p w14:paraId="55DA0688" w14:textId="77777777" w:rsidR="00612C3A" w:rsidRDefault="00612C3A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p w14:paraId="5BF7414C" w14:textId="77777777" w:rsidR="00D41FD6" w:rsidRDefault="00D41FD6">
      <w:pPr>
        <w:pStyle w:val="normalwithoutspacing"/>
      </w:pPr>
    </w:p>
    <w:p w14:paraId="3790D966" w14:textId="77777777" w:rsidR="00D41FD6" w:rsidRDefault="00D41FD6">
      <w:pPr>
        <w:pStyle w:val="normalwithoutspacing"/>
      </w:pPr>
      <w:r>
        <w:rPr>
          <w:rFonts w:cs="Arial"/>
          <w:b/>
          <w:color w:val="002060"/>
          <w:szCs w:val="22"/>
        </w:rPr>
        <w:t>ΜΕΡΟΣ Β - ΟΙΚΟΝΟΜΙΚΟ ΑΝΤΙΚΕΙΜΕΝΟ ΤΗΣ ΣΥΜΒΑΣΗΣ</w:t>
      </w:r>
    </w:p>
    <w:p w14:paraId="451EFDD4" w14:textId="77777777" w:rsidR="00DE6241" w:rsidRDefault="00DE6241" w:rsidP="000E5C55">
      <w:pPr>
        <w:pStyle w:val="normalwithoutspacing"/>
      </w:pPr>
    </w:p>
    <w:p w14:paraId="6ADF8809" w14:textId="5D580A99" w:rsidR="000E5C55" w:rsidRDefault="000E5C55" w:rsidP="000E5C55">
      <w:pPr>
        <w:pStyle w:val="normalwithoutspacing"/>
      </w:pPr>
      <w:r>
        <w:t xml:space="preserve">Η δαπάνη για την εν λόγω σύμβαση βαρύνει τον προϋπολογισμό του Ινστιτούτου Αλιευτικής Έρευνας του Ελληνικού Γεωργικού Οργανισμού – «ΔΗΜΗΤΡΑ» με σχετική πίστωση του προϋπολογισμού του Έργου </w:t>
      </w:r>
      <w:r w:rsidRPr="00197968">
        <w:t>με τίτλο</w:t>
      </w:r>
      <w:r w:rsidR="00204575">
        <w:t xml:space="preserve"> </w:t>
      </w:r>
      <w:r w:rsidR="00204575" w:rsidRPr="00204575">
        <w:t>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>
        <w:t>,</w:t>
      </w:r>
      <w:r w:rsidRPr="008B5736">
        <w:t xml:space="preserve"> </w:t>
      </w:r>
      <w:r w:rsidRPr="00204575">
        <w:t>που χρηματοδοτείται από το Επιχειρησιακό Πρόγραμμα Αλιείας –Θάλασσας (ΕΠΑλ-Θ 2014-202</w:t>
      </w:r>
      <w:r w:rsidR="00257736" w:rsidRPr="00204575">
        <w:t>0</w:t>
      </w:r>
      <w:r w:rsidRPr="00204575">
        <w:t>).</w:t>
      </w:r>
    </w:p>
    <w:p w14:paraId="1C72AE98" w14:textId="5583A5EC" w:rsidR="000E5C55" w:rsidRPr="00B950F6" w:rsidRDefault="000E5C55" w:rsidP="000E5C55">
      <w:pPr>
        <w:pStyle w:val="normalwithoutspacing"/>
      </w:pPr>
      <w:r w:rsidRPr="00B950F6">
        <w:t>Για την παρούσα διαδικασία έχει</w:t>
      </w:r>
      <w:r w:rsidR="00443798">
        <w:t xml:space="preserve"> εκδοθεί η απόφαση με αρ. πρωτ. </w:t>
      </w:r>
      <w:r w:rsidR="00443798" w:rsidRPr="00443798">
        <w:t>7535/2022/15-02-2022,ΑΑ:1300</w:t>
      </w:r>
      <w:r w:rsidR="00443798" w:rsidRPr="00443798">
        <w:rPr>
          <w:highlight w:val="yellow"/>
        </w:rPr>
        <w:t xml:space="preserve"> </w:t>
      </w:r>
      <w:r w:rsidR="00443798" w:rsidRPr="00443798">
        <w:t>(ΑΔΑ:6ΙΑ8ΟΞ3Μ-ΟΙΟ, ΑΔΑΜ:22REQ010055558)</w:t>
      </w:r>
      <w:r w:rsidR="00443798">
        <w:t xml:space="preserve"> </w:t>
      </w:r>
      <w:r w:rsidRPr="00B950F6">
        <w:t>για την ανάληψη υποχρέωσης/έγκριση δέσμευσης πίστωση</w:t>
      </w:r>
      <w:r>
        <w:t>ς για το οικονομικό έτος 2022</w:t>
      </w:r>
      <w:r w:rsidRPr="00B950F6">
        <w:t xml:space="preserve">. </w:t>
      </w:r>
    </w:p>
    <w:p w14:paraId="11A013A9" w14:textId="77777777" w:rsidR="00DE6241" w:rsidRDefault="00DE6241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p w14:paraId="1ACA2DB3" w14:textId="368143D9" w:rsidR="00D41FD6" w:rsidRPr="00763952" w:rsidRDefault="00D41FD6" w:rsidP="00763952">
      <w:pPr>
        <w:suppressAutoHyphens w:val="0"/>
        <w:autoSpaceDE w:val="0"/>
        <w:spacing w:after="60"/>
        <w:rPr>
          <w:lang w:val="el-GR"/>
        </w:rPr>
      </w:pPr>
      <w:r w:rsidRPr="00763952">
        <w:rPr>
          <w:lang w:val="el-GR"/>
        </w:rPr>
        <w:t xml:space="preserve">Εκτιμώμενη αξία </w:t>
      </w:r>
      <w:r w:rsidR="00DE6241" w:rsidRPr="00763952">
        <w:rPr>
          <w:lang w:val="el-GR"/>
        </w:rPr>
        <w:t xml:space="preserve">της </w:t>
      </w:r>
      <w:r w:rsidRPr="00763952">
        <w:rPr>
          <w:lang w:val="el-GR"/>
        </w:rPr>
        <w:t xml:space="preserve">σύμβασης </w:t>
      </w:r>
      <w:r w:rsidR="00DE6241" w:rsidRPr="00763952">
        <w:rPr>
          <w:lang w:val="el-GR"/>
        </w:rPr>
        <w:t xml:space="preserve">είναι </w:t>
      </w:r>
      <w:r w:rsidR="00137310" w:rsidRPr="00763952">
        <w:rPr>
          <w:lang w:val="el-GR"/>
        </w:rPr>
        <w:t>70</w:t>
      </w:r>
      <w:r w:rsidR="00DE6241" w:rsidRPr="00763952">
        <w:rPr>
          <w:lang w:val="el-GR"/>
        </w:rPr>
        <w:t>.</w:t>
      </w:r>
      <w:r w:rsidR="00137310" w:rsidRPr="00763952">
        <w:rPr>
          <w:lang w:val="el-GR"/>
        </w:rPr>
        <w:t>0</w:t>
      </w:r>
      <w:r w:rsidR="00DE6241" w:rsidRPr="00763952">
        <w:rPr>
          <w:lang w:val="el-GR"/>
        </w:rPr>
        <w:t>00,00€ πλέον του αναλογούντος</w:t>
      </w:r>
      <w:r w:rsidR="00137310" w:rsidRPr="00763952">
        <w:rPr>
          <w:lang w:val="el-GR"/>
        </w:rPr>
        <w:t xml:space="preserve"> ΦΠΑ (σύνολο με ΦΠΑ 86</w:t>
      </w:r>
      <w:r w:rsidR="00DE6241" w:rsidRPr="00763952">
        <w:rPr>
          <w:lang w:val="el-GR"/>
        </w:rPr>
        <w:t>.</w:t>
      </w:r>
      <w:r w:rsidR="00763952">
        <w:rPr>
          <w:lang w:val="el-GR"/>
        </w:rPr>
        <w:t>8</w:t>
      </w:r>
      <w:r w:rsidR="00137310" w:rsidRPr="00763952">
        <w:rPr>
          <w:lang w:val="el-GR"/>
        </w:rPr>
        <w:t>00</w:t>
      </w:r>
      <w:r w:rsidR="00DE6241" w:rsidRPr="00763952">
        <w:rPr>
          <w:lang w:val="el-GR"/>
        </w:rPr>
        <w:t>,00€).</w:t>
      </w:r>
    </w:p>
    <w:p w14:paraId="59E68905" w14:textId="0A23BD68" w:rsidR="00DE6241" w:rsidRDefault="00DE6241">
      <w:pPr>
        <w:suppressAutoHyphens w:val="0"/>
        <w:autoSpaceDE w:val="0"/>
        <w:spacing w:after="60"/>
        <w:rPr>
          <w:lang w:val="el-GR"/>
        </w:rPr>
      </w:pPr>
      <w:r w:rsidRPr="00DE6241">
        <w:rPr>
          <w:lang w:val="el-GR"/>
        </w:rPr>
        <w:t>Η παραπάνω τιμή συνιστά το ανώτατο όριο για την υποβολή προσφορών. Προσφορές που υπερβαίνουν τη τιμή αυτή θα απορρίπτονται.</w:t>
      </w:r>
    </w:p>
    <w:p w14:paraId="149995C7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6F9B277B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2E469A30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6595EAB1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43597E8A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5B583FBC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6391F3B3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713F0326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1968C2F1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630B4E06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43BD180B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48502BFF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  <w:bookmarkStart w:id="1" w:name="_GoBack"/>
      <w:bookmarkEnd w:id="1"/>
    </w:p>
    <w:sectPr w:rsidR="002E10CC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EA5BA" w14:textId="77777777" w:rsidR="00E34813" w:rsidRDefault="00E34813">
      <w:pPr>
        <w:spacing w:after="0"/>
      </w:pPr>
      <w:r>
        <w:separator/>
      </w:r>
    </w:p>
  </w:endnote>
  <w:endnote w:type="continuationSeparator" w:id="0">
    <w:p w14:paraId="7DA8243F" w14:textId="77777777" w:rsidR="00E34813" w:rsidRDefault="00E34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C17B0" w14:textId="77777777" w:rsidR="00E34813" w:rsidRDefault="00E34813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E34813" w:rsidRDefault="00E34813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ΕΥΡΩΠΑΙΚΗ ΕΝΩΣΗ</w:t>
    </w:r>
  </w:p>
  <w:p w14:paraId="6161740A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E34813" w:rsidRPr="002D7904" w:rsidRDefault="00E34813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E34813" w:rsidRDefault="00E34813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E04D8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7FCE1" w14:textId="77777777" w:rsidR="000B5F4B" w:rsidRDefault="000B5F4B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0B5F4B" w:rsidRDefault="000B5F4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60A77" w14:textId="77777777" w:rsidR="00E34813" w:rsidRDefault="00E34813">
      <w:pPr>
        <w:spacing w:after="0"/>
      </w:pPr>
      <w:r>
        <w:separator/>
      </w:r>
    </w:p>
  </w:footnote>
  <w:footnote w:type="continuationSeparator" w:id="0">
    <w:p w14:paraId="47B48131" w14:textId="77777777" w:rsidR="00E34813" w:rsidRDefault="00E348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30"/>
  </w:num>
  <w:num w:numId="13">
    <w:abstractNumId w:val="10"/>
  </w:num>
  <w:num w:numId="14">
    <w:abstractNumId w:val="36"/>
  </w:num>
  <w:num w:numId="15">
    <w:abstractNumId w:val="33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35"/>
  </w:num>
  <w:num w:numId="35">
    <w:abstractNumId w:val="34"/>
  </w:num>
  <w:num w:numId="36">
    <w:abstractNumId w:val="29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K">
    <w15:presenceInfo w15:providerId="None" w15:userId="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714E"/>
    <w:rsid w:val="00060353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27CF"/>
    <w:rsid w:val="00084105"/>
    <w:rsid w:val="000871F7"/>
    <w:rsid w:val="0009690F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AF4"/>
    <w:rsid w:val="000C2D2C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2694"/>
    <w:rsid w:val="00114676"/>
    <w:rsid w:val="00114CD1"/>
    <w:rsid w:val="00116CBA"/>
    <w:rsid w:val="00117891"/>
    <w:rsid w:val="00120554"/>
    <w:rsid w:val="001217F6"/>
    <w:rsid w:val="00121C45"/>
    <w:rsid w:val="00122C70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40A6"/>
    <w:rsid w:val="00160307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511F"/>
    <w:rsid w:val="0037093A"/>
    <w:rsid w:val="00371471"/>
    <w:rsid w:val="00371885"/>
    <w:rsid w:val="00373A3E"/>
    <w:rsid w:val="003744C0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AA6"/>
    <w:rsid w:val="003D1E0A"/>
    <w:rsid w:val="003D62F0"/>
    <w:rsid w:val="003D7490"/>
    <w:rsid w:val="003D7F2A"/>
    <w:rsid w:val="003E0898"/>
    <w:rsid w:val="003E137B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C72"/>
    <w:rsid w:val="00442880"/>
    <w:rsid w:val="00443798"/>
    <w:rsid w:val="00443EDF"/>
    <w:rsid w:val="00444289"/>
    <w:rsid w:val="00444CCE"/>
    <w:rsid w:val="0044542B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4051"/>
    <w:rsid w:val="004A4D41"/>
    <w:rsid w:val="004A6C40"/>
    <w:rsid w:val="004A7F90"/>
    <w:rsid w:val="004B1635"/>
    <w:rsid w:val="004B2675"/>
    <w:rsid w:val="004B2C85"/>
    <w:rsid w:val="004B380B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4D8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79F0"/>
    <w:rsid w:val="005609B2"/>
    <w:rsid w:val="00563AE7"/>
    <w:rsid w:val="00563E8E"/>
    <w:rsid w:val="005740A6"/>
    <w:rsid w:val="0057432C"/>
    <w:rsid w:val="00575126"/>
    <w:rsid w:val="0057576E"/>
    <w:rsid w:val="00581874"/>
    <w:rsid w:val="005840D3"/>
    <w:rsid w:val="00584115"/>
    <w:rsid w:val="00585EAB"/>
    <w:rsid w:val="00586940"/>
    <w:rsid w:val="00586EE8"/>
    <w:rsid w:val="005911A8"/>
    <w:rsid w:val="00591B46"/>
    <w:rsid w:val="005921E4"/>
    <w:rsid w:val="0059313F"/>
    <w:rsid w:val="005952F0"/>
    <w:rsid w:val="00595F69"/>
    <w:rsid w:val="00597F5F"/>
    <w:rsid w:val="005A00D1"/>
    <w:rsid w:val="005A05A5"/>
    <w:rsid w:val="005A0EC7"/>
    <w:rsid w:val="005A460A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90C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E70"/>
    <w:rsid w:val="006262E6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594F"/>
    <w:rsid w:val="006563D8"/>
    <w:rsid w:val="00657008"/>
    <w:rsid w:val="006602DC"/>
    <w:rsid w:val="0066039D"/>
    <w:rsid w:val="00661866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3AA9"/>
    <w:rsid w:val="006C3C50"/>
    <w:rsid w:val="006C601E"/>
    <w:rsid w:val="006C64EB"/>
    <w:rsid w:val="006D16E1"/>
    <w:rsid w:val="006D3484"/>
    <w:rsid w:val="006D5DEF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278A9"/>
    <w:rsid w:val="0073009C"/>
    <w:rsid w:val="00733058"/>
    <w:rsid w:val="00733D63"/>
    <w:rsid w:val="00736384"/>
    <w:rsid w:val="00744F87"/>
    <w:rsid w:val="007471B0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5A21"/>
    <w:rsid w:val="00765B0E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024E"/>
    <w:rsid w:val="007E0385"/>
    <w:rsid w:val="007E0575"/>
    <w:rsid w:val="007E0871"/>
    <w:rsid w:val="007E2F8D"/>
    <w:rsid w:val="007E4C71"/>
    <w:rsid w:val="007E553D"/>
    <w:rsid w:val="007E602C"/>
    <w:rsid w:val="007F0576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19CA"/>
    <w:rsid w:val="008353C5"/>
    <w:rsid w:val="0083723B"/>
    <w:rsid w:val="00842811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205A"/>
    <w:rsid w:val="00963CB6"/>
    <w:rsid w:val="0096536D"/>
    <w:rsid w:val="00965AE8"/>
    <w:rsid w:val="0096629F"/>
    <w:rsid w:val="00972793"/>
    <w:rsid w:val="009745E2"/>
    <w:rsid w:val="00975D45"/>
    <w:rsid w:val="00976238"/>
    <w:rsid w:val="00976561"/>
    <w:rsid w:val="00976FE3"/>
    <w:rsid w:val="00977DA9"/>
    <w:rsid w:val="00981DD9"/>
    <w:rsid w:val="009834A7"/>
    <w:rsid w:val="00983A26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6E15"/>
    <w:rsid w:val="00C27D6E"/>
    <w:rsid w:val="00C318F8"/>
    <w:rsid w:val="00C31F4A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D033AE"/>
    <w:rsid w:val="00D105C6"/>
    <w:rsid w:val="00D119B9"/>
    <w:rsid w:val="00D14B7C"/>
    <w:rsid w:val="00D15290"/>
    <w:rsid w:val="00D154CB"/>
    <w:rsid w:val="00D15D56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712C9"/>
    <w:rsid w:val="00D736AA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C3F98"/>
    <w:rsid w:val="00DC408F"/>
    <w:rsid w:val="00DC5959"/>
    <w:rsid w:val="00DC63F0"/>
    <w:rsid w:val="00DD2C1C"/>
    <w:rsid w:val="00DD4074"/>
    <w:rsid w:val="00DD41C0"/>
    <w:rsid w:val="00DD440B"/>
    <w:rsid w:val="00DD50E7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4532"/>
    <w:rsid w:val="00E04FAE"/>
    <w:rsid w:val="00E06ADE"/>
    <w:rsid w:val="00E106B6"/>
    <w:rsid w:val="00E10C71"/>
    <w:rsid w:val="00E1420D"/>
    <w:rsid w:val="00E14C02"/>
    <w:rsid w:val="00E16B68"/>
    <w:rsid w:val="00E17053"/>
    <w:rsid w:val="00E17316"/>
    <w:rsid w:val="00E24552"/>
    <w:rsid w:val="00E2497E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5D5"/>
    <w:rsid w:val="00E6026B"/>
    <w:rsid w:val="00E62802"/>
    <w:rsid w:val="00E649D2"/>
    <w:rsid w:val="00E6587B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30E93"/>
    <w:rsid w:val="00F3311A"/>
    <w:rsid w:val="00F3525E"/>
    <w:rsid w:val="00F37A3E"/>
    <w:rsid w:val="00F40358"/>
    <w:rsid w:val="00F40AF4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2238"/>
    <w:rsid w:val="00FD3A4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20E3B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905C-C5C9-4147-95EB-74DD786F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9333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Μαγγανά Χαριτίνη</cp:lastModifiedBy>
  <cp:revision>3</cp:revision>
  <cp:lastPrinted>2022-02-02T08:28:00Z</cp:lastPrinted>
  <dcterms:created xsi:type="dcterms:W3CDTF">2022-04-19T11:10:00Z</dcterms:created>
  <dcterms:modified xsi:type="dcterms:W3CDTF">2022-04-19T11:16:00Z</dcterms:modified>
</cp:coreProperties>
</file>